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D7" w:rsidRPr="00BC4DD7" w:rsidRDefault="0058277A" w:rsidP="00E005D7">
      <w:pPr>
        <w:pBdr>
          <w:bottom w:val="single" w:sz="4" w:space="1" w:color="808080" w:themeColor="background1" w:themeShade="80"/>
        </w:pBdr>
        <w:ind w:left="-567" w:right="-567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144145</wp:posOffset>
                </wp:positionV>
                <wp:extent cx="2159000" cy="991235"/>
                <wp:effectExtent l="10795" t="8890" r="1143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75B" w:rsidRPr="00F13D23" w:rsidRDefault="0050675B" w:rsidP="002F7FD0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lang w:val="bs-Latn-BA"/>
                              </w:rPr>
                            </w:pPr>
                            <w:r w:rsidRPr="00F13D23">
                              <w:rPr>
                                <w:rFonts w:ascii="Candara" w:hAnsi="Candara" w:cs="Candara"/>
                                <w:b/>
                                <w:bCs/>
                                <w:lang w:val="bs-Latn-BA"/>
                              </w:rPr>
                              <w:t>JP RTV 7 d.o.o. TUZLA</w:t>
                            </w:r>
                            <w:r w:rsidR="002F7FD0">
                              <w:rPr>
                                <w:rFonts w:ascii="Candara" w:hAnsi="Candara" w:cs="Candara"/>
                                <w:b/>
                                <w:bCs/>
                                <w:lang w:val="bs-Latn-BA"/>
                              </w:rPr>
                              <w:t xml:space="preserve">   </w:t>
                            </w:r>
                          </w:p>
                          <w:p w:rsidR="0050675B" w:rsidRPr="0050675B" w:rsidRDefault="00447EB2" w:rsidP="002F7FD0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Mirze Delibašića </w:t>
                            </w:r>
                            <w:r w:rsid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4, 75000  Tuzla</w:t>
                            </w:r>
                          </w:p>
                          <w:p w:rsidR="007073B1" w:rsidRDefault="007073B1" w:rsidP="00E005D7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Direktor: </w:t>
                            </w:r>
                            <w:r w:rsidR="00447EB2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tel</w:t>
                            </w:r>
                            <w:r w:rsidR="0085504E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: 035/</w:t>
                            </w:r>
                            <w:r w:rsidR="0028709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366-660</w:t>
                            </w:r>
                          </w:p>
                          <w:p w:rsidR="0085504E" w:rsidRPr="0050675B" w:rsidRDefault="007073B1" w:rsidP="00E005D7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M</w:t>
                            </w:r>
                            <w:r w:rsidR="00E005D7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arketing: 035/</w:t>
                            </w:r>
                            <w:r w:rsidR="0028709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366-664</w:t>
                            </w:r>
                          </w:p>
                          <w:p w:rsidR="0050675B" w:rsidRDefault="00E65A5F" w:rsidP="002F7FD0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fax: 035/366 -669</w:t>
                            </w:r>
                          </w:p>
                          <w:p w:rsidR="00E005D7" w:rsidRDefault="002F7FD0" w:rsidP="00E005D7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e-mail: </w:t>
                            </w:r>
                            <w:r w:rsidR="00E005D7" w:rsidRPr="00E005D7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direktor@rtv7.ba</w:t>
                            </w:r>
                          </w:p>
                          <w:p w:rsidR="00E005D7" w:rsidRDefault="00E005D7" w:rsidP="00E005D7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www.rt</w:t>
                            </w:r>
                            <w:r w:rsidR="00281473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v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7.ba</w:t>
                            </w:r>
                          </w:p>
                          <w:p w:rsidR="002F7FD0" w:rsidRDefault="002F7FD0" w:rsidP="0050675B">
                            <w:pP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  <w:p w:rsidR="0050675B" w:rsidRPr="001903C2" w:rsidRDefault="0050675B" w:rsidP="0050675B">
                            <w:pPr>
                              <w:rPr>
                                <w:rFonts w:ascii="Candara" w:hAnsi="Candara" w:cs="Candara"/>
                                <w:b/>
                                <w:bCs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2.05pt;margin-top:11.35pt;width:170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" strokecolor="white" strokeweight="0">
                <v:stroke dashstyle="1 1" endcap="round"/>
                <v:textbox>
                  <w:txbxContent>
                    <w:p w:rsidR="0050675B" w:rsidRPr="00F13D23" w:rsidRDefault="0050675B" w:rsidP="002F7FD0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lang w:val="bs-Latn-BA"/>
                        </w:rPr>
                      </w:pPr>
                      <w:r w:rsidRPr="00F13D23">
                        <w:rPr>
                          <w:rFonts w:ascii="Candara" w:hAnsi="Candara" w:cs="Candara"/>
                          <w:b/>
                          <w:bCs/>
                          <w:lang w:val="bs-Latn-BA"/>
                        </w:rPr>
                        <w:t>JP RTV 7 d.o.o. TUZLA</w:t>
                      </w:r>
                      <w:r w:rsidR="002F7FD0">
                        <w:rPr>
                          <w:rFonts w:ascii="Candara" w:hAnsi="Candara" w:cs="Candara"/>
                          <w:b/>
                          <w:bCs/>
                          <w:lang w:val="bs-Latn-BA"/>
                        </w:rPr>
                        <w:t xml:space="preserve">   </w:t>
                      </w:r>
                    </w:p>
                    <w:p w:rsidR="0050675B" w:rsidRPr="0050675B" w:rsidRDefault="00447EB2" w:rsidP="002F7FD0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Mirze Delibašića </w:t>
                      </w:r>
                      <w:r w:rsid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4, 75000  Tuzla</w:t>
                      </w:r>
                    </w:p>
                    <w:p w:rsidR="007073B1" w:rsidRDefault="007073B1" w:rsidP="00E005D7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Direktor: </w:t>
                      </w:r>
                      <w:r w:rsidR="00447EB2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tel</w:t>
                      </w:r>
                      <w:r w:rsidR="0085504E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: 035/</w:t>
                      </w:r>
                      <w:r w:rsidR="0028709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366-660</w:t>
                      </w:r>
                    </w:p>
                    <w:p w:rsidR="0085504E" w:rsidRPr="0050675B" w:rsidRDefault="007073B1" w:rsidP="00E005D7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M</w:t>
                      </w:r>
                      <w:r w:rsidR="00E005D7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arketing: 035/</w:t>
                      </w:r>
                      <w:r w:rsidR="0028709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366-664</w:t>
                      </w:r>
                    </w:p>
                    <w:p w:rsidR="0050675B" w:rsidRDefault="00E65A5F" w:rsidP="002F7FD0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fax: 035/366 -669</w:t>
                      </w:r>
                    </w:p>
                    <w:p w:rsidR="00E005D7" w:rsidRDefault="002F7FD0" w:rsidP="00E005D7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e-mail: </w:t>
                      </w:r>
                      <w:r w:rsidR="00E005D7" w:rsidRPr="00E005D7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direktor@rtv7.ba</w:t>
                      </w:r>
                    </w:p>
                    <w:p w:rsidR="00E005D7" w:rsidRDefault="00E005D7" w:rsidP="00E005D7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www.rt</w:t>
                      </w:r>
                      <w:r w:rsidR="00281473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v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7.ba</w:t>
                      </w:r>
                    </w:p>
                    <w:p w:rsidR="002F7FD0" w:rsidRDefault="002F7FD0" w:rsidP="0050675B">
                      <w:pP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20"/>
                          <w:szCs w:val="20"/>
                          <w:lang w:val="bs-Latn-BA"/>
                        </w:rPr>
                      </w:pPr>
                    </w:p>
                    <w:p w:rsidR="0050675B" w:rsidRPr="001903C2" w:rsidRDefault="0050675B" w:rsidP="0050675B">
                      <w:pPr>
                        <w:rPr>
                          <w:rFonts w:ascii="Candara" w:hAnsi="Candara" w:cs="Candara"/>
                          <w:b/>
                          <w:bCs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44E4" w:rsidRPr="00BC4DD7" w:rsidRDefault="0058277A" w:rsidP="00E005D7">
      <w:pPr>
        <w:pBdr>
          <w:bottom w:val="single" w:sz="4" w:space="1" w:color="808080" w:themeColor="background1" w:themeShade="80"/>
        </w:pBdr>
        <w:ind w:left="-567" w:righ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21590</wp:posOffset>
                </wp:positionV>
                <wp:extent cx="2066290" cy="942975"/>
                <wp:effectExtent l="7620" t="13970" r="1206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75B" w:rsidRPr="0050675B" w:rsidRDefault="0050675B" w:rsidP="00E005D7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ID : 4209 2827 10006</w:t>
                            </w:r>
                          </w:p>
                          <w:p w:rsidR="0050675B" w:rsidRDefault="0050675B" w:rsidP="002F7FD0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PDV: 209 2827 10006</w:t>
                            </w:r>
                          </w:p>
                          <w:p w:rsidR="00E005D7" w:rsidRPr="0050675B" w:rsidRDefault="00281473" w:rsidP="002F7FD0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Poreski broj: </w:t>
                            </w:r>
                            <w:r w:rsidR="005F77BE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03002035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</w:p>
                          <w:p w:rsidR="0050675B" w:rsidRPr="0050675B" w:rsidRDefault="0050675B" w:rsidP="002F7FD0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ŽIRO RAČUNI:</w:t>
                            </w:r>
                          </w:p>
                          <w:p w:rsidR="0050675B" w:rsidRPr="0050675B" w:rsidRDefault="0050675B" w:rsidP="002F7FD0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NLB BANKA: 132 1000 309 527 590</w:t>
                            </w:r>
                          </w:p>
                          <w:p w:rsidR="0050675B" w:rsidRDefault="00281473" w:rsidP="002F7FD0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SPARKASSE: 199 050</w:t>
                            </w:r>
                            <w:r w:rsidR="0050675B"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0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="0050675B"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036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 5</w:t>
                            </w:r>
                            <w:r w:rsidR="0050675B"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82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 8</w:t>
                            </w:r>
                            <w:r w:rsidR="0050675B"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69</w:t>
                            </w:r>
                          </w:p>
                          <w:p w:rsidR="0050675B" w:rsidRPr="001903C2" w:rsidRDefault="0050675B" w:rsidP="0050675B">
                            <w:pPr>
                              <w:rPr>
                                <w:rFonts w:ascii="Candara" w:hAnsi="Candara" w:cs="Candara"/>
                                <w:b/>
                                <w:bCs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6.8pt;margin-top:1.7pt;width:162.7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" strokecolor="white" strokeweight="0">
                <v:stroke dashstyle="1 1" endcap="round"/>
                <v:textbox>
                  <w:txbxContent>
                    <w:p w:rsidR="0050675B" w:rsidRPr="0050675B" w:rsidRDefault="0050675B" w:rsidP="00E005D7">
                      <w:pPr>
                        <w:pBdr>
                          <w:right w:val="double" w:sz="4" w:space="4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ID : 4209 2827 10006</w:t>
                      </w:r>
                    </w:p>
                    <w:p w:rsidR="0050675B" w:rsidRDefault="0050675B" w:rsidP="002F7FD0">
                      <w:pPr>
                        <w:pBdr>
                          <w:right w:val="double" w:sz="4" w:space="4" w:color="808080" w:themeColor="background1" w:themeShade="80"/>
                        </w:pBdr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PDV: 209 2827 10006</w:t>
                      </w:r>
                    </w:p>
                    <w:p w:rsidR="00E005D7" w:rsidRPr="0050675B" w:rsidRDefault="00281473" w:rsidP="002F7FD0">
                      <w:pPr>
                        <w:pBdr>
                          <w:right w:val="double" w:sz="4" w:space="4" w:color="808080" w:themeColor="background1" w:themeShade="80"/>
                        </w:pBdr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Poreski broj: </w:t>
                      </w:r>
                      <w:r w:rsidR="005F77BE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03002035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 </w:t>
                      </w:r>
                    </w:p>
                    <w:p w:rsidR="0050675B" w:rsidRPr="0050675B" w:rsidRDefault="0050675B" w:rsidP="002F7FD0">
                      <w:pPr>
                        <w:pBdr>
                          <w:right w:val="double" w:sz="4" w:space="4" w:color="808080" w:themeColor="background1" w:themeShade="80"/>
                        </w:pBdr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ŽIRO RAČUNI:</w:t>
                      </w:r>
                    </w:p>
                    <w:p w:rsidR="0050675B" w:rsidRPr="0050675B" w:rsidRDefault="0050675B" w:rsidP="002F7FD0">
                      <w:pPr>
                        <w:pBdr>
                          <w:right w:val="double" w:sz="4" w:space="4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NLB BANKA: 132 1000 309 527 590</w:t>
                      </w:r>
                    </w:p>
                    <w:p w:rsidR="0050675B" w:rsidRDefault="00281473" w:rsidP="002F7FD0">
                      <w:pPr>
                        <w:pBdr>
                          <w:right w:val="double" w:sz="4" w:space="4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SPARKASSE: 199 050</w:t>
                      </w:r>
                      <w:r w:rsidR="0050675B"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0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 </w:t>
                      </w:r>
                      <w:r w:rsidR="0050675B"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036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 5</w:t>
                      </w:r>
                      <w:r w:rsidR="0050675B"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82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 8</w:t>
                      </w:r>
                      <w:r w:rsidR="0050675B"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69</w:t>
                      </w:r>
                    </w:p>
                    <w:p w:rsidR="0050675B" w:rsidRPr="001903C2" w:rsidRDefault="0050675B" w:rsidP="0050675B">
                      <w:pPr>
                        <w:rPr>
                          <w:rFonts w:ascii="Candara" w:hAnsi="Candara" w:cs="Candara"/>
                          <w:b/>
                          <w:bCs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EB2" w:rsidRPr="00BC4DD7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2473828" cy="885825"/>
            <wp:effectExtent l="19050" t="0" r="2672" b="0"/>
            <wp:docPr id="3" name="Picture 2" descr="C:\Documents and Settings\Administrator\My Documents\My Pictures\logo mem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logo memo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28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EB2" w:rsidRPr="00BC4DD7" w:rsidRDefault="00447EB2" w:rsidP="00E005D7">
      <w:pPr>
        <w:pBdr>
          <w:bottom w:val="single" w:sz="4" w:space="1" w:color="808080" w:themeColor="background1" w:themeShade="80"/>
        </w:pBdr>
        <w:ind w:left="-567" w:right="-567" w:firstLine="0"/>
        <w:rPr>
          <w:rFonts w:ascii="Times New Roman" w:hAnsi="Times New Roman" w:cs="Times New Roman"/>
          <w:sz w:val="24"/>
          <w:szCs w:val="24"/>
        </w:rPr>
      </w:pPr>
    </w:p>
    <w:p w:rsidR="00BC4DD7" w:rsidRDefault="00BC4DD7" w:rsidP="004C705A">
      <w:pPr>
        <w:ind w:right="-567" w:firstLine="0"/>
        <w:rPr>
          <w:rFonts w:ascii="Times New Roman" w:hAnsi="Times New Roman" w:cs="Times New Roman"/>
          <w:sz w:val="24"/>
          <w:szCs w:val="24"/>
        </w:rPr>
      </w:pPr>
    </w:p>
    <w:p w:rsidR="00C47FBE" w:rsidRDefault="001E71EB" w:rsidP="004C705A">
      <w:pPr>
        <w:ind w:righ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Tuzla, 01</w:t>
      </w:r>
      <w:r w:rsidR="00C47FBE">
        <w:rPr>
          <w:rFonts w:ascii="Times New Roman" w:hAnsi="Times New Roman" w:cs="Times New Roman"/>
          <w:sz w:val="24"/>
          <w:szCs w:val="24"/>
        </w:rPr>
        <w:t>.07.2020. godine</w:t>
      </w:r>
    </w:p>
    <w:p w:rsidR="00C47FBE" w:rsidRDefault="00C47FBE" w:rsidP="004C705A">
      <w:pPr>
        <w:ind w:righ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1E71EB">
        <w:rPr>
          <w:rFonts w:ascii="Times New Roman" w:hAnsi="Times New Roman" w:cs="Times New Roman"/>
          <w:sz w:val="24"/>
          <w:szCs w:val="24"/>
        </w:rPr>
        <w:t xml:space="preserve"> 347/20</w:t>
      </w:r>
    </w:p>
    <w:p w:rsidR="00D8055E" w:rsidRDefault="00D063DA" w:rsidP="00D80FB7">
      <w:pPr>
        <w:ind w:left="-284" w:hanging="142"/>
        <w:jc w:val="left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</w:t>
      </w:r>
    </w:p>
    <w:p w:rsidR="005A04F0" w:rsidRDefault="005A04F0" w:rsidP="00D80FB7">
      <w:pPr>
        <w:ind w:left="-284" w:hanging="142"/>
        <w:jc w:val="left"/>
        <w:rPr>
          <w:rStyle w:val="Strong"/>
          <w:rFonts w:ascii="Times New Roman" w:hAnsi="Times New Roman" w:cs="Times New Roman"/>
          <w:sz w:val="24"/>
          <w:szCs w:val="24"/>
        </w:rPr>
      </w:pPr>
    </w:p>
    <w:p w:rsidR="002539D9" w:rsidRDefault="00C47FBE" w:rsidP="002539D9">
      <w:pPr>
        <w:rPr>
          <w:rStyle w:val="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</w:t>
      </w:r>
      <w:r w:rsidR="002539D9" w:rsidRPr="002539D9">
        <w:rPr>
          <w:rStyle w:val="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PISMO PREPORUKE </w:t>
      </w:r>
    </w:p>
    <w:p w:rsidR="002539D9" w:rsidRDefault="002539D9" w:rsidP="002539D9">
      <w:pPr>
        <w:rPr>
          <w:rStyle w:val="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Javno preduzeće  Radio-televizija 7 Tuzla, osnovano sa namjerom da 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bude istinski  medijski servis G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rada i građana, te pruži maksimalnu medijsku podršku svim idejama koje će doprinjeti boljem i ljepšem zajedničkom životu,  posebno mladih, od samoga početka svoga djelovanja je prepoznalo značaj rada Pozorišta mladih Tuzle. </w:t>
      </w: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Njihova misija podizanja svijesti, odgoja djece i mladih kroz kulturu i umjetnost,  razvoja  i  održivosti  edukativnih  i  obrazovnih  programa,  promocije  kulturno-umjetničkog stvaralaštva,  profesionalnizacije  pozori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šne  umjetnosti,  te  afirmacije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  filmske,  tv  i  audio  vizuelne umjetnosti  je odmah podržana u našoj medijskoj kući. </w:t>
      </w: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Od 2013. godine, otkada se realizuje naš radio i tv program, pratimo edukacije,  razvoj, stasavanje generacija mladih i uspješnih ljudi, koji su svoj rad i talenat odlučili uobličiti,upravo,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u Pozorištu mladih Tuzle. Ovo U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druženje primjenjuje  specifičan model  dramske  pedagogije  odnosno  primijenjenog  pozorišta  i  drame koji se pokazao kao izuzetno pozitivan način rada na izgradnji samopouzdanja polaznika svih uzrasta, a samim tim i razvoja društvene zajednice. Zahvaljujući tome smo kroz naše programe bili u prilici informisati gra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đane i predstavljati mlade ljude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iz Dramskog studija za djecu, mlade i 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odrasle, njihove talente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, znanja i umijeća, posebno nagrade koje su postizali tokom svog individualnog ili grupnoga rada.  </w:t>
      </w: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Zahvaljujući uspješnom radu Pozorišta mladih znatno je ojačal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a i pozorišna umjetnost našega G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rada, posebno scena mladih, tako da smo zajedničkim snagama informisali građane Tuzle o brojn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im predstavama u realizaciji ovoga U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druženja, koje su se izvodile ne samo u Tuzli, nego i drugim gradovima BiH, regije i Evrope. Posebno je značajno istaći da su često bili dobitnici značajnih nagrada i priznanja.   </w:t>
      </w: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Među brojnim kvalitetnim idejama Pozorišta mladih Tuzle 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izdvajamo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nekoliko, koje smo zajednički re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lizovali:</w:t>
      </w: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 „Doček Plamena mira“ 2014. godine,</w:t>
      </w:r>
      <w:r w:rsidRPr="002539D9">
        <w:rPr>
          <w:rFonts w:ascii="Times New Roman" w:hAnsi="Times New Roman" w:cs="Times New Roman"/>
          <w:sz w:val="24"/>
          <w:szCs w:val="24"/>
        </w:rPr>
        <w:t xml:space="preserve"> odnosno m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irovni maraton kojim je obilježena  stogodišnjica početka Prvog svjetskog rata. Zahvaljuj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ući Pozorištu mladih Tuzle naš G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rad, TK i BiH dobili su priliku da budu dio maratona koji je prošao kroz 12 zemalja i 55 gradova pronoseći 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poruku mira i povezujući mlade istoka i z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apada u Evropi.</w:t>
      </w: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Godinama sarađujemo sa Pozorištem mladih Tuzle kroz manifestaciju „Dani mladih Tuzle“ koja nudi raznovrsne sadržaje za svakoga, od eduk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ativnih do sadržaja  iz culture i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umjetnosti. Kruna svega su pozorišne predstave, po 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čemu su prepoznatljivi, kako u G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radu, tako i šire. </w:t>
      </w:r>
    </w:p>
    <w:p w:rsidR="00C47FBE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Značaj rada Pozorišta je u činjenici da putem modela dramske edukacije nastoje doprinjeti odgoju i zdravom odrastanju djece i mladih, koji bi svoje znanje i vještine u budućnosti mogli primjeniti u zajednici. Generacije prolaze kroz Udruženje mladih Tuzle i Pozorište mladih i svaka nova generacija ima potrebu govoriti o nekim novim temama, za koje im se na ovom mjestu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pružila prilika da otvoreno i hrabro, ali argumentovano, progovore. Iz toga proizilaze i njihove nove predstave koje govore o problemima unutar našega društva, poput  predstave „Ruža“ koja oslikava intimne, iskrene i realne trenutke mladalačkog života i sve sum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je koje ga ispunjavaju, a u isto vrijeme ostaje podsjetnik na jugonostalgični vremenski kontekst.  Ovu predstavu smo u saradnji sa Pozorištem mladih emitovali u našim programima. </w:t>
      </w:r>
    </w:p>
    <w:p w:rsidR="00C47FBE" w:rsidRDefault="00C47FBE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7FBE" w:rsidRDefault="00C47FBE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7FBE" w:rsidRDefault="00C47FBE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7FBE" w:rsidRDefault="00C47FBE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7FBE" w:rsidRDefault="00C47FBE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539D9" w:rsidRPr="002539D9" w:rsidRDefault="002539D9" w:rsidP="002539D9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Glas mladih i njihove ideje mogle su se vidjeti i čuti i tokom njihove predstave "Sretni kraljević" nastale u okviru projekta „Djevojčice i dječaci glasno protiv rodno zasnovanog nasilja“ , gdje su djeca i mladi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u saradnji sa udruženjem „Vive žene“</w:t>
      </w:r>
      <w:r w:rsidR="00C47FBE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imala priliku da postanu aktivni sudionici u prevenciji nasilja, a posebno rodno zasnovanog nasilja kroz povećanje ličnih vještina i kompetencija, zajedničkim djelovanjem u poticanju i promicanju nenasilja i rodne ravnopravnosti u BiH.   </w:t>
      </w:r>
    </w:p>
    <w:p w:rsidR="005A04F0" w:rsidRDefault="002539D9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U najkraćem Pozorište mladih Tuzle ima model rada sa djecom, mladim i odraslim osobama koji bi mogao poslužiti za primjer kako se primjenom dramskog odgoja mladi osposobljavaju za život. Mnogi njihovi polaznici danas su uspješni glumci, producenti, pjevači, muzičari, profesori, pedagozi, doktori</w:t>
      </w:r>
      <w:r w:rsidR="00E7458C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ekonomisti, pravnici, novinari, sociolozi, filozofi</w:t>
      </w:r>
      <w:r w:rsidR="00E7458C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539D9"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Saradnja Pozorišta mladih i JP RTV 7 Tuzla je na zavidnom nivou, uz visoki stepen uzajamnog razumijevanja i zajedničkog osmišljavanja medijske podrške svim projektima koje ovo Pozorište radi. Važna poveznica je zajednički interes da animiramo mlade i podstičemo ih na kreativna razmišljanja, ali i da im omogućimo medijsku prezentaciju svega onoga što oni pod okriljem Pozorišta uspješno pokazuju. </w:t>
      </w: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>Ovakav način saradnje je dobra podrška i našem programu u kojem, svojim aktivnim učešćem, uspješno učestvuje i Pozorište mladih Tuzla.</w:t>
      </w: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Direktor:</w:t>
      </w: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1EB" w:rsidRDefault="001E71EB" w:rsidP="001E71EB">
      <w:pP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----------------------------------</w:t>
      </w:r>
    </w:p>
    <w:p w:rsidR="001E71EB" w:rsidRPr="002539D9" w:rsidRDefault="001E71EB" w:rsidP="001E71EB">
      <w:pPr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f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(Jasna Kapetanović)     </w:t>
      </w:r>
    </w:p>
    <w:p w:rsidR="005A04F0" w:rsidRPr="002539D9" w:rsidRDefault="005A04F0" w:rsidP="00D80FB7">
      <w:pPr>
        <w:ind w:left="-284" w:hanging="142"/>
        <w:jc w:val="left"/>
        <w:rPr>
          <w:rStyle w:val="Strong"/>
          <w:rFonts w:ascii="Times New Roman" w:hAnsi="Times New Roman" w:cs="Times New Roman"/>
          <w:sz w:val="24"/>
          <w:szCs w:val="24"/>
        </w:rPr>
      </w:pPr>
    </w:p>
    <w:p w:rsidR="005A04F0" w:rsidRPr="002539D9" w:rsidRDefault="005A04F0" w:rsidP="00D80FB7">
      <w:pPr>
        <w:ind w:left="-284" w:hanging="142"/>
        <w:jc w:val="left"/>
        <w:rPr>
          <w:rStyle w:val="Strong"/>
          <w:rFonts w:ascii="Times New Roman" w:hAnsi="Times New Roman" w:cs="Times New Roman"/>
          <w:sz w:val="24"/>
          <w:szCs w:val="24"/>
        </w:rPr>
      </w:pPr>
    </w:p>
    <w:p w:rsidR="005A04F0" w:rsidRPr="002539D9" w:rsidRDefault="005A04F0" w:rsidP="00D80FB7">
      <w:pPr>
        <w:ind w:left="-284" w:hanging="142"/>
        <w:jc w:val="left"/>
        <w:rPr>
          <w:rStyle w:val="Strong"/>
          <w:rFonts w:ascii="Times New Roman" w:hAnsi="Times New Roman" w:cs="Times New Roman"/>
          <w:sz w:val="24"/>
          <w:szCs w:val="24"/>
        </w:rPr>
      </w:pPr>
    </w:p>
    <w:p w:rsidR="005A04F0" w:rsidRPr="002539D9" w:rsidRDefault="005A04F0" w:rsidP="00D80FB7">
      <w:pPr>
        <w:ind w:left="-284" w:hanging="142"/>
        <w:jc w:val="left"/>
        <w:rPr>
          <w:rStyle w:val="Strong"/>
          <w:rFonts w:ascii="Times New Roman" w:hAnsi="Times New Roman" w:cs="Times New Roman"/>
          <w:sz w:val="24"/>
          <w:szCs w:val="24"/>
        </w:rPr>
      </w:pPr>
    </w:p>
    <w:p w:rsidR="005A04F0" w:rsidRPr="002539D9" w:rsidRDefault="005A04F0" w:rsidP="00D80FB7">
      <w:pPr>
        <w:ind w:left="-284" w:hanging="142"/>
        <w:jc w:val="left"/>
        <w:rPr>
          <w:rStyle w:val="Strong"/>
          <w:rFonts w:ascii="Times New Roman" w:hAnsi="Times New Roman" w:cs="Times New Roman"/>
          <w:sz w:val="24"/>
          <w:szCs w:val="24"/>
        </w:rPr>
      </w:pPr>
    </w:p>
    <w:p w:rsidR="005A04F0" w:rsidRPr="002539D9" w:rsidRDefault="005A04F0" w:rsidP="00D80FB7">
      <w:pPr>
        <w:ind w:left="-284" w:hanging="142"/>
        <w:jc w:val="left"/>
        <w:rPr>
          <w:rStyle w:val="Strong"/>
          <w:rFonts w:ascii="Times New Roman" w:hAnsi="Times New Roman" w:cs="Times New Roman"/>
          <w:sz w:val="24"/>
          <w:szCs w:val="24"/>
        </w:rPr>
      </w:pPr>
    </w:p>
    <w:p w:rsidR="005A04F0" w:rsidRDefault="005A04F0" w:rsidP="00D80FB7">
      <w:pPr>
        <w:ind w:left="-284" w:hanging="142"/>
        <w:jc w:val="left"/>
        <w:rPr>
          <w:rStyle w:val="Strong"/>
          <w:rFonts w:ascii="Times New Roman" w:hAnsi="Times New Roman" w:cs="Times New Roman"/>
          <w:sz w:val="24"/>
          <w:szCs w:val="24"/>
        </w:rPr>
      </w:pPr>
    </w:p>
    <w:sectPr w:rsidR="005A04F0" w:rsidSect="00A75AC7">
      <w:pgSz w:w="12240" w:h="15840"/>
      <w:pgMar w:top="357" w:right="567" w:bottom="363" w:left="85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09" w:rsidRDefault="00B67D09" w:rsidP="00054771">
      <w:r>
        <w:separator/>
      </w:r>
    </w:p>
  </w:endnote>
  <w:endnote w:type="continuationSeparator" w:id="0">
    <w:p w:rsidR="00B67D09" w:rsidRDefault="00B67D09" w:rsidP="0005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09" w:rsidRDefault="00B67D09" w:rsidP="00054771">
      <w:r>
        <w:separator/>
      </w:r>
    </w:p>
  </w:footnote>
  <w:footnote w:type="continuationSeparator" w:id="0">
    <w:p w:rsidR="00B67D09" w:rsidRDefault="00B67D09" w:rsidP="0005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4A99"/>
    <w:multiLevelType w:val="hybridMultilevel"/>
    <w:tmpl w:val="896C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6BB8"/>
    <w:multiLevelType w:val="hybridMultilevel"/>
    <w:tmpl w:val="F014D9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70466"/>
    <w:multiLevelType w:val="hybridMultilevel"/>
    <w:tmpl w:val="896C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D696D"/>
    <w:multiLevelType w:val="hybridMultilevel"/>
    <w:tmpl w:val="896C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63A7B"/>
    <w:multiLevelType w:val="hybridMultilevel"/>
    <w:tmpl w:val="896C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5B"/>
    <w:rsid w:val="000028F1"/>
    <w:rsid w:val="00010C63"/>
    <w:rsid w:val="00054771"/>
    <w:rsid w:val="000B5133"/>
    <w:rsid w:val="000F1C07"/>
    <w:rsid w:val="00183C70"/>
    <w:rsid w:val="00196CE7"/>
    <w:rsid w:val="001C0EA6"/>
    <w:rsid w:val="001E71EB"/>
    <w:rsid w:val="0023459B"/>
    <w:rsid w:val="002539D9"/>
    <w:rsid w:val="00281473"/>
    <w:rsid w:val="0028709B"/>
    <w:rsid w:val="002B6827"/>
    <w:rsid w:val="002E5370"/>
    <w:rsid w:val="002F7FD0"/>
    <w:rsid w:val="00301D50"/>
    <w:rsid w:val="00344D65"/>
    <w:rsid w:val="0035328D"/>
    <w:rsid w:val="00412277"/>
    <w:rsid w:val="00447EB2"/>
    <w:rsid w:val="004C44F3"/>
    <w:rsid w:val="004C705A"/>
    <w:rsid w:val="0050675B"/>
    <w:rsid w:val="00512195"/>
    <w:rsid w:val="0055654E"/>
    <w:rsid w:val="0058277A"/>
    <w:rsid w:val="005966C9"/>
    <w:rsid w:val="005A04F0"/>
    <w:rsid w:val="005A49BF"/>
    <w:rsid w:val="005F1058"/>
    <w:rsid w:val="005F77BE"/>
    <w:rsid w:val="006231E7"/>
    <w:rsid w:val="007073B1"/>
    <w:rsid w:val="007316A4"/>
    <w:rsid w:val="007322EC"/>
    <w:rsid w:val="00737478"/>
    <w:rsid w:val="007732C4"/>
    <w:rsid w:val="008058B1"/>
    <w:rsid w:val="00822C95"/>
    <w:rsid w:val="0085504E"/>
    <w:rsid w:val="00871DA6"/>
    <w:rsid w:val="008C7A56"/>
    <w:rsid w:val="008D577A"/>
    <w:rsid w:val="008E31A1"/>
    <w:rsid w:val="00910ECB"/>
    <w:rsid w:val="00911EDE"/>
    <w:rsid w:val="00934AC0"/>
    <w:rsid w:val="0093505F"/>
    <w:rsid w:val="0094341D"/>
    <w:rsid w:val="00971275"/>
    <w:rsid w:val="00A75AC7"/>
    <w:rsid w:val="00AD7519"/>
    <w:rsid w:val="00AE7912"/>
    <w:rsid w:val="00AE7E2D"/>
    <w:rsid w:val="00AF2F7E"/>
    <w:rsid w:val="00B67D09"/>
    <w:rsid w:val="00BB7591"/>
    <w:rsid w:val="00BC4DD7"/>
    <w:rsid w:val="00BF3ABC"/>
    <w:rsid w:val="00C47FBE"/>
    <w:rsid w:val="00C9529C"/>
    <w:rsid w:val="00CD240B"/>
    <w:rsid w:val="00D052AE"/>
    <w:rsid w:val="00D063DA"/>
    <w:rsid w:val="00D11651"/>
    <w:rsid w:val="00D8055E"/>
    <w:rsid w:val="00D80FB7"/>
    <w:rsid w:val="00DD2550"/>
    <w:rsid w:val="00DE43B7"/>
    <w:rsid w:val="00E005D7"/>
    <w:rsid w:val="00E2238B"/>
    <w:rsid w:val="00E24C98"/>
    <w:rsid w:val="00E46C93"/>
    <w:rsid w:val="00E55A67"/>
    <w:rsid w:val="00E65A5F"/>
    <w:rsid w:val="00E7458C"/>
    <w:rsid w:val="00EC63E9"/>
    <w:rsid w:val="00EE377C"/>
    <w:rsid w:val="00F22B39"/>
    <w:rsid w:val="00F82FC9"/>
    <w:rsid w:val="00FC0D1B"/>
    <w:rsid w:val="00FC2A5E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CA4A5-3219-42F0-BC56-0736A520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BF"/>
  </w:style>
  <w:style w:type="paragraph" w:styleId="Heading3">
    <w:name w:val="heading 3"/>
    <w:basedOn w:val="Normal"/>
    <w:next w:val="Normal"/>
    <w:link w:val="Heading3Char"/>
    <w:uiPriority w:val="99"/>
    <w:qFormat/>
    <w:rsid w:val="005A04F0"/>
    <w:pPr>
      <w:keepNext/>
      <w:ind w:right="-1" w:firstLine="0"/>
      <w:jc w:val="center"/>
      <w:outlineLvl w:val="2"/>
    </w:pPr>
    <w:rPr>
      <w:rFonts w:ascii="Arial" w:eastAsia="Times New Roman" w:hAnsi="Arial" w:cs="Arial"/>
      <w:b/>
      <w:bCs/>
      <w:sz w:val="28"/>
      <w:szCs w:val="28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F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D063DA"/>
    <w:pPr>
      <w:ind w:left="720"/>
      <w:contextualSpacing/>
    </w:pPr>
  </w:style>
  <w:style w:type="table" w:styleId="TableGrid">
    <w:name w:val="Table Grid"/>
    <w:basedOn w:val="TableNormal"/>
    <w:uiPriority w:val="59"/>
    <w:rsid w:val="00D063DA"/>
    <w:pPr>
      <w:ind w:firstLine="0"/>
      <w:jc w:val="left"/>
    </w:pPr>
    <w:rPr>
      <w:lang w:val="bs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063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5A04F0"/>
    <w:rPr>
      <w:rFonts w:ascii="Arial" w:eastAsia="Times New Roman" w:hAnsi="Arial" w:cs="Arial"/>
      <w:b/>
      <w:bCs/>
      <w:sz w:val="28"/>
      <w:szCs w:val="28"/>
      <w:lang w:val="en-GB" w:eastAsia="hr-HR"/>
    </w:rPr>
  </w:style>
  <w:style w:type="paragraph" w:styleId="Footer">
    <w:name w:val="footer"/>
    <w:basedOn w:val="Normal"/>
    <w:link w:val="FooterChar"/>
    <w:uiPriority w:val="99"/>
    <w:rsid w:val="005A04F0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5A04F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ookTitle">
    <w:name w:val="Book Title"/>
    <w:basedOn w:val="DefaultParagraphFont"/>
    <w:uiPriority w:val="33"/>
    <w:qFormat/>
    <w:rsid w:val="005A04F0"/>
    <w:rPr>
      <w:b/>
      <w:bCs/>
      <w:smallCaps/>
      <w:spacing w:val="5"/>
    </w:rPr>
  </w:style>
  <w:style w:type="character" w:customStyle="1" w:styleId="f">
    <w:name w:val="f"/>
    <w:basedOn w:val="DefaultParagraphFont"/>
    <w:rsid w:val="0025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8F3D-AD57-4C85-AED7-AC0C22A2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Korisnik</cp:lastModifiedBy>
  <cp:revision>2</cp:revision>
  <cp:lastPrinted>2013-01-17T11:16:00Z</cp:lastPrinted>
  <dcterms:created xsi:type="dcterms:W3CDTF">2020-07-02T09:17:00Z</dcterms:created>
  <dcterms:modified xsi:type="dcterms:W3CDTF">2020-07-02T09:17:00Z</dcterms:modified>
</cp:coreProperties>
</file>